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4F1682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>LÄÄKETUTKA</w:t>
      </w:r>
      <w:proofErr w:type="spellEnd"/>
      <w:r w:rsidRPr="004F1682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 SEULOO KESKUSTELUA </w:t>
      </w:r>
      <w:proofErr w:type="spellStart"/>
      <w:r w:rsidRPr="004F1682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>LÄÄKKEISTA</w:t>
      </w:r>
      <w:proofErr w:type="spellEnd"/>
      <w:r w:rsidRPr="004F1682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̈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Kehitimme kollegani Krista Laguksen ja teknologiayritys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Futuricen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yh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teistyöna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Lääketutkan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jonka avulla voi tutkia suomalaisten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lääkkeista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käymäa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nettikeskustelua.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Lääketutkaa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rakennettaessa Suomi24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</w:r>
      <w:r>
        <w:rPr>
          <w:rFonts w:ascii="MyriadPro" w:eastAsia="Times New Roman" w:hAnsi="MyriadPro" w:cs="Times New Roman"/>
          <w:sz w:val="20"/>
          <w:szCs w:val="20"/>
          <w:lang w:val="fi-FI" w:eastAsia="sv-SE"/>
        </w:rPr>
        <w:t>-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verk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kofoorumin terveysaiheiset keskustelut vuosilta 2001–2016 analysoi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tiin tietokoneavusteisesti.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Yhteensa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aineisto kattaa noin 19 miljoonaa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viestia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Aineistosta poimittiin 1 500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lääketta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tai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kaltaista avainsanaa, joiden avulla keskustelua voi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tiivistäa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ja luokitella.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Näma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avainsanat kertovat ihmisten tavoista hoitaa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itseään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Esimerkiksi kannabiksesta, antibiooteista ja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mielialalääkkeista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keskustellaan vilkkaasti.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Laskennallisen analyysin avulla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lääkkeet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liitettiin oireisiin. Antibioo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teista keskusteltaessa aiheena ovat erilaiset tulehdukset, kun taas ro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kotusten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yhteydessa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puhutaan esimerkiksi halvaantumisesta. Oireet kertovat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mielenterveyden ongelmista ja kuinka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niita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̈ ”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itselääki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tään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” rauhoittavilla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lääkkeilla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alkoholilla ja kannabiksella. Ihmisten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kesuhde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on usein sotkuinen ja monitahoinen, pikemminkin kuin siisti ja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selvärajainen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Moni asiantuntija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pitäa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verkkokeskustelua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lähinna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̈ roskana – itselleni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kin oli vaikeaa suhtautua Suomi24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foorumiin arvokkaana tutkimus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aineistona.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Työskentely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aineiston kanssa vaati uutta tapaa ajatella.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Lääketutka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ei kerro totuuksia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lääkkeiden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käytösta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vaan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siita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milloin ja miten rokotevastaisuus alkoi muotoutua verkkokeskusteluissa. Tutka kertoo, miten ihmiset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käyttävät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̈ ja millaisia neuvoja he anta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vat toisille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lääkkeiden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käyttäjille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Jotta tutkan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käytto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konkretisoituisi, otimme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käsittelyyn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kolme eri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mie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lialalääketta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kävimme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läpi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niita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koskevat viestit.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Hätkähdyttävinta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̈ ai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neistossa on ollut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lääkkeiden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sivuvaikutuksia ja vieroitusoireita koske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va keskustelu. Masennuksen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lääkkeellinen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hoitaminen voi tarkoittaa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sita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ihminen tuntee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itsensa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epätodelliseksi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vieraaksi tai sekavaksi. Ruokahalu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lisääntyy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paino nousee.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Sivuvaikutukset ovat todellisia, ne on listattu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lääkepakkauksiin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Mir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tatsapiini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voi aiheuttaa ruokahalun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lisääntymista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Cipralex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hermostu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neisuutta ja maniaa. Kun sivuvaikutukset toistuvat verkon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teksteissa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sivuvaikutuksista puhuminen alkaa tuntua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vähättelylta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Ihmisten arjen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näkökulmasta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vaikutukset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eivät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ole sivuvaikutuksia vaan koko arkea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määrittävia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Lääkkeet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voivat lamauttaa tai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vieda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yöunet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Keskustelut paljastavat, miten ihmiset kamppailevat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lääkkeiden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käy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tön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kanssa.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Viesteja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lukiessa piirtyy esiin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näkyma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ihmisten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lääkesuh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teisiin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arkisen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kärsimyksen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kirjoon.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Lääketutka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avaa kaunistelemattoman ja suodattamattoman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näkymän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lääkkeita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koskeviin </w:t>
      </w:r>
      <w:proofErr w:type="spellStart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käsityksiin</w:t>
      </w:r>
      <w:proofErr w:type="spellEnd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huoliin ja asenteisiin.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i/>
          <w:iCs/>
          <w:lang w:val="fi-FI" w:eastAsia="sv-SE"/>
        </w:rPr>
        <w:t xml:space="preserve">Minna </w:t>
      </w:r>
      <w:proofErr w:type="spellStart"/>
      <w:r w:rsidRPr="004F1682">
        <w:rPr>
          <w:rFonts w:ascii="MyriadPro" w:eastAsia="Times New Roman" w:hAnsi="MyriadPro" w:cs="Times New Roman"/>
          <w:i/>
          <w:iCs/>
          <w:lang w:val="fi-FI" w:eastAsia="sv-SE"/>
        </w:rPr>
        <w:t>Ruckenstein</w:t>
      </w:r>
      <w:proofErr w:type="spellEnd"/>
      <w:r w:rsidRPr="004F1682">
        <w:rPr>
          <w:rFonts w:ascii="MyriadPro" w:eastAsia="Times New Roman" w:hAnsi="MyriadPro" w:cs="Times New Roman"/>
          <w:i/>
          <w:iCs/>
          <w:lang w:val="fi-FI" w:eastAsia="sv-SE"/>
        </w:rPr>
        <w:t xml:space="preserve">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>Helsingin yliopiston valtio</w:t>
      </w:r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tieteellisen tiedekunnan Kuluttajatutkimuske</w:t>
      </w:r>
      <w:bookmarkStart w:id="0" w:name="_GoBack"/>
      <w:bookmarkEnd w:id="0"/>
      <w:r w:rsidRPr="004F1682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skuksen apulaisprofessori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color w:val="265999"/>
          <w:sz w:val="20"/>
          <w:szCs w:val="20"/>
          <w:lang w:val="fi-FI" w:eastAsia="sv-SE"/>
        </w:rPr>
        <w:t xml:space="preserve">www.laaketutka.fi </w:t>
      </w:r>
    </w:p>
    <w:p w:rsidR="004F1682" w:rsidRPr="004F1682" w:rsidRDefault="004F1682" w:rsidP="004F168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4F1682">
        <w:rPr>
          <w:rFonts w:ascii="MyriadPro" w:eastAsia="Times New Roman" w:hAnsi="MyriadPro" w:cs="Times New Roman"/>
          <w:i/>
          <w:iCs/>
          <w:lang w:val="fi-FI" w:eastAsia="sv-SE"/>
        </w:rPr>
        <w:t xml:space="preserve">Kuva: Liisa Takala </w:t>
      </w:r>
    </w:p>
    <w:p w:rsidR="0084537C" w:rsidRPr="004F1682" w:rsidRDefault="004F1682">
      <w:pPr>
        <w:rPr>
          <w:lang w:val="fi-FI"/>
        </w:rPr>
      </w:pPr>
    </w:p>
    <w:sectPr w:rsidR="0084537C" w:rsidRPr="004F1682" w:rsidSect="00F147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82"/>
    <w:rsid w:val="00022985"/>
    <w:rsid w:val="004F1682"/>
    <w:rsid w:val="005264F5"/>
    <w:rsid w:val="009068EC"/>
    <w:rsid w:val="009D4A00"/>
    <w:rsid w:val="00EC3BDC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DF75E"/>
  <w14:defaultImageDpi w14:val="32767"/>
  <w15:chartTrackingRefBased/>
  <w15:docId w15:val="{7AE1C732-20F3-E648-BB76-4A2959D4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F16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FI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Kurki, Line S V</dc:creator>
  <cp:keywords/>
  <dc:description/>
  <cp:lastModifiedBy>Kurki, Line S V</cp:lastModifiedBy>
  <cp:revision>1</cp:revision>
  <dcterms:created xsi:type="dcterms:W3CDTF">2018-11-07T17:36:00Z</dcterms:created>
  <dcterms:modified xsi:type="dcterms:W3CDTF">2018-11-07T17:40:00Z</dcterms:modified>
</cp:coreProperties>
</file>